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20" w:line="240" w:lineRule="auto"/>
        <w:jc w:val="center"/>
      </w:pPr>
      <w:r>
        <w:rPr>
          <w:rFonts w:ascii="Georgia" w:hAnsi="Georgia" w:eastAsia="Georgia"/>
          <w:b/>
          <w:i w:val="0"/>
          <w:color w:val="222222"/>
          <w:sz w:val="50"/>
        </w:rPr>
        <w:t>AIONYX</w:t>
      </w:r>
    </w:p>
    <w:p>
      <w:pPr>
        <w:spacing w:before="0" w:after="40" w:line="240" w:lineRule="auto"/>
        <w:jc w:val="center"/>
      </w:pPr>
      <w:r>
        <w:rPr>
          <w:rFonts w:ascii="Georgia" w:hAnsi="Georgia" w:eastAsia="Georgia"/>
          <w:b w:val="0"/>
          <w:i/>
          <w:color w:val="636363"/>
          <w:sz w:val="25"/>
        </w:rPr>
        <w:t>Partner-Handout</w:t>
      </w:r>
    </w:p>
    <w:p>
      <w:pPr>
        <w:spacing w:before="0" w:after="160" w:line="252" w:lineRule="auto"/>
        <w:jc w:val="center"/>
      </w:pPr>
      <w:r>
        <w:rPr>
          <w:rFonts w:ascii="Georgia" w:hAnsi="Georgia" w:eastAsia="Georgia"/>
          <w:b/>
          <w:i w:val="0"/>
          <w:color w:val="543A1C"/>
          <w:sz w:val="25"/>
        </w:rPr>
        <w:t>Ein Rahmen für Menschen, Orte und Vorhaben, die nicht bloß gut klingen, sondern mit der Zeit real Form annehmen sollen.</w:t>
      </w:r>
    </w:p>
    <w:p>
      <w:pPr>
        <w:pBdr>
          <w:bottom w:val="single" w:sz="8" w:space="1" w:color="CDB99A"/>
        </w:pBdr>
        <w:spacing w:after="120"/>
      </w:pPr>
    </w:p>
    <w:p>
      <w:pPr>
        <w:spacing w:before="160" w:after="80" w:line="240" w:lineRule="auto"/>
      </w:pPr>
      <w:r>
        <w:rPr>
          <w:rFonts w:ascii="Georgia" w:hAnsi="Georgia" w:eastAsia="Georgia"/>
          <w:b/>
          <w:i w:val="0"/>
          <w:color w:val="543A1C"/>
          <w:sz w:val="34"/>
        </w:rPr>
        <w:t>Kompakte Einordnung</w:t>
      </w:r>
    </w:p>
    <w:p>
      <w:pPr>
        <w:spacing w:before="0" w:after="80" w:line="269" w:lineRule="auto"/>
      </w:pPr>
      <w:r>
        <w:rPr>
          <w:rFonts w:ascii="Georgia" w:hAnsi="Georgia" w:eastAsia="Georgia"/>
          <w:b/>
          <w:i w:val="0"/>
          <w:color w:val="222222"/>
          <w:sz w:val="23"/>
        </w:rPr>
        <w:t xml:space="preserve">Aionyx ist als langfristiger Aufbau gedacht: </w:t>
      </w:r>
      <w:r>
        <w:rPr>
          <w:rFonts w:ascii="Georgia" w:hAnsi="Georgia" w:eastAsia="Georgia"/>
          <w:b w:val="0"/>
          <w:i w:val="0"/>
          <w:color w:val="222222"/>
          <w:sz w:val="23"/>
        </w:rPr>
        <w:t>ein wachsender Rahmen für Gemeinschaft, Wissensaufbau, Naturverbundenheit, kreative Kultur und konkrete Entwicklung. Der Ausgangspunkt kann digital sein - über Website, Inhalte, Struktur und Vernetzung. Langfristig ist die Ausrichtung jedoch größer: Kooperationen, Projekte, reale Orte und tragfähige Formen von gemeinschaftlichem Aufbau.</w:t>
      </w:r>
    </w:p>
    <w:p>
      <w:pPr>
        <w:spacing w:before="0" w:after="100" w:line="269" w:lineRule="auto"/>
      </w:pPr>
      <w:r>
        <w:rPr>
          <w:rFonts w:ascii="Georgia" w:hAnsi="Georgia" w:eastAsia="Georgia"/>
          <w:b/>
          <w:i w:val="0"/>
          <w:color w:val="222222"/>
          <w:sz w:val="23"/>
        </w:rPr>
        <w:t xml:space="preserve">Der Kern ist bewusst einfach: </w:t>
      </w:r>
      <w:r>
        <w:rPr>
          <w:rFonts w:ascii="Georgia" w:hAnsi="Georgia" w:eastAsia="Georgia"/>
          <w:b w:val="0"/>
          <w:i w:val="0"/>
          <w:color w:val="222222"/>
          <w:sz w:val="23"/>
        </w:rPr>
        <w:t>Menschen zusammenbringen, die Substanz, Verantwortung und echte Entwicklung höher gewichten als Selbstdarstellung, Szene-Ästhetik oder lose Ideensammlungen.</w:t>
      </w:r>
    </w:p>
    <w:tbl>
      <w:tblPr>
        <w:tblW w:type="auto" w:w="0"/>
        <w:jc w:val="center"/>
        <w:tblLayout w:type="autofit"/>
        <w:tblLook w:firstColumn="1" w:firstRow="1" w:lastColumn="0" w:lastRow="0" w:noHBand="0" w:noVBand="1" w:val="04A0"/>
        <w:tblBorders>
          <w:top w:val="nil"/>
          <w:left w:val="nil"/>
          <w:bottom w:val="nil"/>
          <w:right w:val="nil"/>
          <w:insideH w:val="nil"/>
          <w:insideV w:val="nil"/>
        </w:tblBorders>
      </w:tblPr>
      <w:tblGrid>
        <w:gridCol w:w="10200"/>
      </w:tblGrid>
      <w:tr>
        <w:tc>
          <w:tcPr>
            <w:tcW w:type="dxa" w:w="10200"/>
            <w:vAlign w:val="top"/>
            <w:shd w:fill="F3EEE6"/>
            <w:tcMar>
              <w:top w:w="100" w:type="dxa"/>
              <w:start w:w="130" w:type="dxa"/>
              <w:bottom w:w="100" w:type="dxa"/>
              <w:end w:w="130" w:type="dxa"/>
            </w:tcMar>
          </w:tcPr>
          <w:p>
            <w:pPr>
              <w:spacing w:after="60"/>
            </w:pPr>
            <w:r>
              <w:rPr>
                <w:rFonts w:ascii="Georgia" w:hAnsi="Georgia" w:eastAsia="Georgia"/>
                <w:b/>
                <w:i w:val="0"/>
                <w:color w:val="543A1C"/>
                <w:sz w:val="24"/>
              </w:rPr>
              <w:t>Kernaussagen</w:t>
            </w:r>
          </w:p>
          <w:p>
            <w:pPr>
              <w:pStyle w:val="ListBullet"/>
              <w:spacing w:after="20" w:line="254" w:lineRule="auto"/>
              <w:ind w:left="85"/>
            </w:pPr>
            <w:r>
              <w:rPr>
                <w:rFonts w:ascii="Georgia" w:hAnsi="Georgia" w:eastAsia="Georgia"/>
                <w:b w:val="0"/>
                <w:i w:val="0"/>
                <w:color w:val="222222"/>
                <w:sz w:val="21"/>
              </w:rPr>
              <w:t>Kein fertiges System, sondern ein ernst gemeintes Vorhaben mit klarer Richtung.</w:t>
            </w:r>
          </w:p>
          <w:p>
            <w:pPr>
              <w:pStyle w:val="ListBullet"/>
              <w:spacing w:after="20" w:line="254" w:lineRule="auto"/>
              <w:ind w:left="85"/>
            </w:pPr>
            <w:r>
              <w:rPr>
                <w:rFonts w:ascii="Georgia" w:hAnsi="Georgia" w:eastAsia="Georgia"/>
                <w:b w:val="0"/>
                <w:i w:val="0"/>
                <w:color w:val="222222"/>
                <w:sz w:val="21"/>
              </w:rPr>
              <w:t>Digitaler Aufbau und reale Orte sollen sich sinnvoll ergänzen, nicht gegenseitig ersetzen.</w:t>
            </w:r>
          </w:p>
          <w:p>
            <w:pPr>
              <w:pStyle w:val="ListBullet"/>
              <w:spacing w:after="20" w:line="254" w:lineRule="auto"/>
              <w:ind w:left="85"/>
            </w:pPr>
            <w:r>
              <w:rPr>
                <w:rFonts w:ascii="Georgia" w:hAnsi="Georgia" w:eastAsia="Georgia"/>
                <w:b w:val="0"/>
                <w:i w:val="0"/>
                <w:color w:val="222222"/>
                <w:sz w:val="21"/>
              </w:rPr>
              <w:t>Gesucht sind Partner mit Haltung, Geduld und Bereitschaft zu tragfähiger Entwicklung.</w:t>
            </w:r>
          </w:p>
          <w:p>
            <w:pPr>
              <w:pStyle w:val="ListBullet"/>
              <w:spacing w:after="20" w:line="254" w:lineRule="auto"/>
              <w:ind w:left="85"/>
            </w:pPr>
            <w:r>
              <w:rPr>
                <w:rFonts w:ascii="Georgia" w:hAnsi="Georgia" w:eastAsia="Georgia"/>
                <w:b w:val="0"/>
                <w:i w:val="0"/>
                <w:color w:val="222222"/>
                <w:sz w:val="21"/>
              </w:rPr>
              <w:t>Land, Naturflächen oder konkrete Projekte können ein starker Ankerpunkt sein, wenn Werte, Menschen und Möglichkeiten zusammenpassen.</w:t>
            </w:r>
          </w:p>
        </w:tc>
      </w:tr>
    </w:tbl>
    <w:p>
      <w:pPr>
        <w:spacing w:after="60"/>
      </w:pPr>
    </w:p>
    <w:tbl>
      <w:tblPr>
        <w:tblW w:type="auto" w:w="0"/>
        <w:jc w:val="center"/>
        <w:tblLayout w:type="autofit"/>
        <w:tblLook w:firstColumn="1" w:firstRow="1" w:lastColumn="0" w:lastRow="0" w:noHBand="0" w:noVBand="1" w:val="04A0"/>
        <w:tblBorders>
          <w:top w:val="nil"/>
          <w:left w:val="nil"/>
          <w:bottom w:val="nil"/>
          <w:right w:val="nil"/>
          <w:insideH w:val="nil"/>
          <w:insideV w:val="nil"/>
        </w:tblBorders>
      </w:tblPr>
      <w:tblGrid>
        <w:gridCol w:w="5100"/>
        <w:gridCol w:w="5100"/>
      </w:tblGrid>
      <w:tr>
        <w:tc>
          <w:tcPr>
            <w:tcW w:type="dxa" w:w="5100"/>
            <w:shd w:fill="F3EEE6"/>
            <w:tcMar>
              <w:top w:w="100" w:type="dxa"/>
              <w:start w:w="120" w:type="dxa"/>
              <w:bottom w:w="100" w:type="dxa"/>
              <w:end w:w="120" w:type="dxa"/>
            </w:tcMar>
            <w:vAlign w:val="top"/>
          </w:tcPr>
          <w:p>
            <w:pPr>
              <w:spacing w:after="40"/>
            </w:pPr>
            <w:r>
              <w:rPr>
                <w:rFonts w:ascii="Georgia" w:hAnsi="Georgia" w:eastAsia="Georgia"/>
                <w:b/>
                <w:i w:val="0"/>
                <w:color w:val="543A1C"/>
                <w:sz w:val="23"/>
              </w:rPr>
              <w:t>Wofür Aionyx nicht steht</w:t>
            </w:r>
          </w:p>
          <w:p>
            <w:pPr>
              <w:spacing w:after="0" w:line="259" w:lineRule="auto"/>
            </w:pPr>
            <w:r>
              <w:rPr>
                <w:rFonts w:ascii="Georgia" w:hAnsi="Georgia" w:eastAsia="Georgia"/>
                <w:b w:val="0"/>
                <w:i w:val="0"/>
                <w:color w:val="222222"/>
                <w:sz w:val="21"/>
              </w:rPr>
              <w:t>Nicht für schnelle Selbstdarstellung, unklare Spiritualisierung oder bloß schöne Worte ohne tragfähige Praxis.</w:t>
            </w:r>
          </w:p>
        </w:tc>
        <w:tc>
          <w:tcPr>
            <w:tcW w:type="dxa" w:w="5100"/>
            <w:shd w:fill="EEE5D8"/>
            <w:tcMar>
              <w:top w:w="100" w:type="dxa"/>
              <w:start w:w="120" w:type="dxa"/>
              <w:bottom w:w="100" w:type="dxa"/>
              <w:end w:w="120" w:type="dxa"/>
            </w:tcMar>
            <w:vAlign w:val="top"/>
          </w:tcPr>
          <w:p>
            <w:pPr>
              <w:spacing w:after="40"/>
            </w:pPr>
            <w:r>
              <w:rPr>
                <w:rFonts w:ascii="Georgia" w:hAnsi="Georgia" w:eastAsia="Georgia"/>
                <w:b/>
                <w:i w:val="0"/>
                <w:color w:val="543A1C"/>
                <w:sz w:val="23"/>
              </w:rPr>
              <w:t>Wofür Aionyx stehen soll</w:t>
            </w:r>
          </w:p>
          <w:p>
            <w:pPr>
              <w:spacing w:after="0" w:line="259" w:lineRule="auto"/>
            </w:pPr>
            <w:r>
              <w:rPr>
                <w:rFonts w:ascii="Georgia" w:hAnsi="Georgia" w:eastAsia="Georgia"/>
                <w:b w:val="0"/>
                <w:i w:val="0"/>
                <w:color w:val="222222"/>
                <w:sz w:val="21"/>
              </w:rPr>
              <w:t>Für Klarheit, Verantwortung, kulturelle Tiefe, naturnahe Entwicklung und reale Aufbauarbeit mit langfristigem Charakter.</w:t>
            </w:r>
          </w:p>
        </w:tc>
      </w:tr>
    </w:tbl>
    <w:p>
      <w:pPr>
        <w:spacing w:after="60"/>
      </w:pPr>
    </w:p>
    <w:p>
      <w:pPr>
        <w:spacing w:before="160" w:after="80" w:line="240" w:lineRule="auto"/>
      </w:pPr>
      <w:r>
        <w:rPr>
          <w:rFonts w:ascii="Georgia" w:hAnsi="Georgia" w:eastAsia="Georgia"/>
          <w:b/>
          <w:i w:val="0"/>
          <w:color w:val="543A1C"/>
          <w:sz w:val="34"/>
        </w:rPr>
        <w:t>Ausführliche Version zum Weiterlesen</w:t>
      </w:r>
    </w:p>
    <w:p>
      <w:pPr>
        <w:spacing w:before="0" w:after="80" w:line="271" w:lineRule="auto"/>
      </w:pPr>
      <w:r>
        <w:rPr>
          <w:rFonts w:ascii="Georgia" w:hAnsi="Georgia" w:eastAsia="Georgia"/>
          <w:b w:val="0"/>
          <w:i w:val="0"/>
          <w:color w:val="222222"/>
          <w:sz w:val="23"/>
        </w:rPr>
        <w:t>Aionyx entsteht aus dem Wunsch, einen Rahmen aufzubauen, der Verbindung und Substanz wieder näher zusammenbringt. Gemeint ist kein loses Netzwerk und auch kein klassisches Projekt mit enger Zweckdefinition, sondern ein langfristig tragfähiger Hub, in dem Wissen, Orientierung, Naturbezug, kreative Kultur und praktische Entwicklung sinnvoll miteinander verbunden werden können.</w:t>
      </w:r>
    </w:p>
    <w:p>
      <w:pPr>
        <w:spacing w:before="0" w:after="80" w:line="271" w:lineRule="auto"/>
      </w:pPr>
      <w:r>
        <w:rPr>
          <w:rFonts w:ascii="Georgia" w:hAnsi="Georgia" w:eastAsia="Georgia"/>
          <w:b w:val="0"/>
          <w:i w:val="0"/>
          <w:color w:val="222222"/>
          <w:sz w:val="23"/>
        </w:rPr>
        <w:t>Der Ausgangspunkt ist bewusst realistisch gewählt: eine klare Website, gebündelte Inhalte, erste Struktur, sichtbare Haltung und die Fähigkeit, die richtigen Menschen anzuziehen. Daraus kann Schritt für Schritt mehr entstehen - Austausch, Kooperationen, Formate, Projekte und unter den passenden Bedingungen auch reale Orte mit gemeinsamer Ausrichtung.</w:t>
      </w:r>
    </w:p>
    <w:p>
      <w:pPr>
        <w:spacing w:before="0" w:after="80" w:line="271" w:lineRule="auto"/>
      </w:pPr>
      <w:r>
        <w:rPr>
          <w:rFonts w:ascii="Georgia" w:hAnsi="Georgia" w:eastAsia="Georgia"/>
          <w:b w:val="0"/>
          <w:i w:val="0"/>
          <w:color w:val="222222"/>
          <w:sz w:val="23"/>
        </w:rPr>
        <w:t>Der eigentliche Qualitätsmaßstab liegt nicht in Größe oder Geschwindigkeit, sondern in Stimmigkeit. Gute Entwicklung entsteht dort, wo innere Ausrichtung, praktische Umsetzbarkeit und saubere menschliche Zusammenarbeit zusammenfallen. Genau deshalb ist Aionyx offen für Partner, die nicht nur Interesse an einer Idee haben, sondern Resonanz auf einen bestimmten Anspruch: langfristig denken, ehrlich kommunizieren und etwas aufbauen wollen, das Menschen, Lebensräumen und Kultur förderlich ist.</w:t>
      </w:r>
    </w:p>
    <w:tbl>
      <w:tblPr>
        <w:tblW w:type="auto" w:w="0"/>
        <w:jc w:val="center"/>
        <w:tblLayout w:type="autofit"/>
        <w:tblLook w:firstColumn="1" w:firstRow="1" w:lastColumn="0" w:lastRow="0" w:noHBand="0" w:noVBand="1" w:val="04A0"/>
        <w:tblBorders>
          <w:top w:val="nil"/>
          <w:left w:val="nil"/>
          <w:bottom w:val="nil"/>
          <w:right w:val="nil"/>
          <w:insideH w:val="nil"/>
          <w:insideV w:val="nil"/>
        </w:tblBorders>
      </w:tblPr>
      <w:tblGrid>
        <w:gridCol w:w="10200"/>
      </w:tblGrid>
      <w:tr>
        <w:tc>
          <w:tcPr>
            <w:tcW w:type="dxa" w:w="10200"/>
            <w:vAlign w:val="top"/>
            <w:shd w:fill="EEE5D8"/>
            <w:tcMar>
              <w:top w:w="100" w:type="dxa"/>
              <w:start w:w="130" w:type="dxa"/>
              <w:bottom w:w="100" w:type="dxa"/>
              <w:end w:w="130" w:type="dxa"/>
            </w:tcMar>
          </w:tcPr>
          <w:p>
            <w:pPr>
              <w:spacing w:after="60"/>
            </w:pPr>
            <w:r>
              <w:rPr>
                <w:rFonts w:ascii="Georgia" w:hAnsi="Georgia" w:eastAsia="Georgia"/>
                <w:b/>
                <w:i w:val="0"/>
                <w:color w:val="543A1C"/>
                <w:sz w:val="24"/>
              </w:rPr>
              <w:t>Warum reale Orte hier besonders relevant sind</w:t>
            </w:r>
          </w:p>
          <w:p>
            <w:pPr>
              <w:pStyle w:val="ListBullet"/>
              <w:spacing w:after="20" w:line="254" w:lineRule="auto"/>
              <w:ind w:left="85"/>
            </w:pPr>
            <w:r>
              <w:rPr>
                <w:rFonts w:ascii="Georgia" w:hAnsi="Georgia" w:eastAsia="Georgia"/>
                <w:b w:val="0"/>
                <w:i w:val="0"/>
                <w:color w:val="222222"/>
                <w:sz w:val="21"/>
              </w:rPr>
              <w:t>Reale Orte machen aus einer Haltung eine konkrete Praxis.</w:t>
            </w:r>
          </w:p>
          <w:p>
            <w:pPr>
              <w:pStyle w:val="ListBullet"/>
              <w:spacing w:after="20" w:line="254" w:lineRule="auto"/>
              <w:ind w:left="85"/>
            </w:pPr>
            <w:r>
              <w:rPr>
                <w:rFonts w:ascii="Georgia" w:hAnsi="Georgia" w:eastAsia="Georgia"/>
                <w:b w:val="0"/>
                <w:i w:val="0"/>
                <w:color w:val="222222"/>
                <w:sz w:val="21"/>
              </w:rPr>
              <w:t>Land und Naturflächen bieten die Möglichkeit, Lernen, Austausch, Kreativität und naturnahes Leben an einem tatsächlichen Ort zu verankern.</w:t>
            </w:r>
          </w:p>
          <w:p>
            <w:pPr>
              <w:pStyle w:val="ListBullet"/>
              <w:spacing w:after="20" w:line="254" w:lineRule="auto"/>
              <w:ind w:left="85"/>
            </w:pPr>
            <w:r>
              <w:rPr>
                <w:rFonts w:ascii="Georgia" w:hAnsi="Georgia" w:eastAsia="Georgia"/>
                <w:b w:val="0"/>
                <w:i w:val="0"/>
                <w:color w:val="222222"/>
                <w:sz w:val="21"/>
              </w:rPr>
              <w:t>Sie sind keine romantische Projektionsfläche, sondern nur dann wertvoll, wenn sie mit klarer Ausrichtung und tragfähiger Zusammenarbeit verbunden sind.</w:t>
            </w:r>
          </w:p>
        </w:tc>
      </w:tr>
    </w:tbl>
    <w:p>
      <w:pPr>
        <w:spacing w:after="60"/>
      </w:pPr>
    </w:p>
    <w:p>
      <w:pPr>
        <w:spacing w:before="0" w:after="80" w:line="271" w:lineRule="auto"/>
      </w:pPr>
      <w:r>
        <w:rPr>
          <w:rFonts w:ascii="Georgia" w:hAnsi="Georgia" w:eastAsia="Georgia"/>
          <w:b w:val="0"/>
          <w:i w:val="0"/>
          <w:color w:val="222222"/>
          <w:sz w:val="23"/>
        </w:rPr>
        <w:t>Deshalb richtet sich dieses Handout an Menschen, die in Begriffen wie Gemeinschaft, Bewusstsein oder Naturverbundenheit nicht bloß Stimmung sehen, sondern Verantwortung. An Menschen, die Schönheit schätzen, aber Substanz verlangen. Und an mögliche Partner, die erkennen, dass aus einer guten Richtung nur dann etwas Starkes wird, wenn sie sauber, geduldig und mit echtem Anspruch aufgebaut wird.</w:t>
      </w:r>
    </w:p>
    <w:tbl>
      <w:tblPr>
        <w:tblW w:type="auto" w:w="0"/>
        <w:jc w:val="center"/>
        <w:tblLayout w:type="autofit"/>
        <w:tblLook w:firstColumn="1" w:firstRow="1" w:lastColumn="0" w:lastRow="0" w:noHBand="0" w:noVBand="1" w:val="04A0"/>
        <w:tblBorders>
          <w:top w:val="nil"/>
          <w:left w:val="nil"/>
          <w:bottom w:val="nil"/>
          <w:right w:val="nil"/>
          <w:insideH w:val="nil"/>
          <w:insideV w:val="nil"/>
        </w:tblBorders>
      </w:tblPr>
      <w:tblGrid>
        <w:gridCol w:w="10200"/>
      </w:tblGrid>
      <w:tr>
        <w:tc>
          <w:tcPr>
            <w:tcW w:type="dxa" w:w="10200"/>
            <w:vAlign w:val="top"/>
            <w:shd w:fill="F3EEE6"/>
            <w:tcMar>
              <w:top w:w="100" w:type="dxa"/>
              <w:start w:w="130" w:type="dxa"/>
              <w:bottom w:w="100" w:type="dxa"/>
              <w:end w:w="130" w:type="dxa"/>
            </w:tcMar>
          </w:tcPr>
          <w:p>
            <w:pPr>
              <w:spacing w:after="60"/>
            </w:pPr>
            <w:r>
              <w:rPr>
                <w:rFonts w:ascii="Georgia" w:hAnsi="Georgia" w:eastAsia="Georgia"/>
                <w:b/>
                <w:i w:val="0"/>
                <w:color w:val="543A1C"/>
                <w:sz w:val="24"/>
              </w:rPr>
              <w:t>Woran eine gute Partnerschaft erkennbar wird</w:t>
            </w:r>
          </w:p>
          <w:p>
            <w:pPr>
              <w:pStyle w:val="ListBullet"/>
              <w:spacing w:after="20" w:line="254" w:lineRule="auto"/>
              <w:ind w:left="85"/>
            </w:pPr>
            <w:r>
              <w:rPr>
                <w:rFonts w:ascii="Georgia" w:hAnsi="Georgia" w:eastAsia="Georgia"/>
                <w:b w:val="0"/>
                <w:i w:val="0"/>
                <w:color w:val="222222"/>
                <w:sz w:val="21"/>
              </w:rPr>
              <w:t>Werte, Menschen und reale Möglichkeiten passen tatsächlich zusammen.</w:t>
            </w:r>
          </w:p>
          <w:p>
            <w:pPr>
              <w:pStyle w:val="ListBullet"/>
              <w:spacing w:after="20" w:line="254" w:lineRule="auto"/>
              <w:ind w:left="85"/>
            </w:pPr>
            <w:r>
              <w:rPr>
                <w:rFonts w:ascii="Georgia" w:hAnsi="Georgia" w:eastAsia="Georgia"/>
                <w:b w:val="0"/>
                <w:i w:val="0"/>
                <w:color w:val="222222"/>
                <w:sz w:val="21"/>
              </w:rPr>
              <w:t>Es gibt Bereitschaft zu klarem Austausch statt bloßer Projektion.</w:t>
            </w:r>
          </w:p>
          <w:p>
            <w:pPr>
              <w:pStyle w:val="ListBullet"/>
              <w:spacing w:after="20" w:line="254" w:lineRule="auto"/>
              <w:ind w:left="85"/>
            </w:pPr>
            <w:r>
              <w:rPr>
                <w:rFonts w:ascii="Georgia" w:hAnsi="Georgia" w:eastAsia="Georgia"/>
                <w:b w:val="0"/>
                <w:i w:val="0"/>
                <w:color w:val="222222"/>
                <w:sz w:val="21"/>
              </w:rPr>
              <w:t>Aufbau wird als Prozess verstanden - nicht als schnelle Rolle oder Imagegewinn.</w:t>
            </w:r>
          </w:p>
          <w:p>
            <w:pPr>
              <w:pStyle w:val="ListBullet"/>
              <w:spacing w:after="20" w:line="254" w:lineRule="auto"/>
              <w:ind w:left="85"/>
            </w:pPr>
            <w:r>
              <w:rPr>
                <w:rFonts w:ascii="Georgia" w:hAnsi="Georgia" w:eastAsia="Georgia"/>
                <w:b w:val="0"/>
                <w:i w:val="0"/>
                <w:color w:val="222222"/>
                <w:sz w:val="21"/>
              </w:rPr>
              <w:t>Beide Seiten sind offen, Ideen in tragfähige Schritte zu übersetzen.</w:t>
            </w:r>
          </w:p>
        </w:tc>
      </w:tr>
    </w:tbl>
    <w:p>
      <w:pPr>
        <w:spacing w:after="60"/>
      </w:pPr>
    </w:p>
    <w:p>
      <w:pPr>
        <w:spacing w:before="0" w:after="60" w:line="269" w:lineRule="auto"/>
      </w:pPr>
      <w:r>
        <w:rPr>
          <w:rFonts w:ascii="Georgia" w:hAnsi="Georgia" w:eastAsia="Georgia"/>
          <w:b w:val="0"/>
          <w:i w:val="0"/>
          <w:color w:val="222222"/>
          <w:sz w:val="23"/>
        </w:rPr>
        <w:t>Dieses Handout will daher nicht beeindrucken, sondern einordnen. Der eigentliche Wert liegt dort, wo aus gemeinsamer Ausrichtung eine konkrete, belastbare Anschlussfähigkeit wird.</w:t>
      </w:r>
    </w:p>
    <w:p>
      <w:pPr>
        <w:spacing w:before="80" w:after="80" w:line="240" w:lineRule="auto"/>
      </w:pPr>
      <w:r>
        <w:rPr>
          <w:rFonts w:ascii="Georgia" w:hAnsi="Georgia" w:eastAsia="Georgia"/>
          <w:b/>
          <w:i w:val="0"/>
          <w:color w:val="543A1C"/>
          <w:sz w:val="27"/>
        </w:rPr>
        <w:t>Nächster Schritt</w:t>
      </w:r>
    </w:p>
    <w:p>
      <w:pPr>
        <w:spacing w:before="0" w:after="0" w:line="264" w:lineRule="auto"/>
      </w:pPr>
      <w:r>
        <w:rPr>
          <w:rFonts w:ascii="Georgia" w:hAnsi="Georgia" w:eastAsia="Georgia"/>
          <w:b w:val="0"/>
          <w:i w:val="0"/>
          <w:color w:val="222222"/>
          <w:sz w:val="23"/>
        </w:rPr>
        <w:t>Wenn Richtung, Werte und reale Möglichkeiten zusammenpassen, lohnt sich ein vertiefter Austausch darüber, was tatsächlich entstehen könnte - und in welcher Form.</w:t>
      </w:r>
    </w:p>
    <w:sectPr w:rsidR="00FC693F" w:rsidRPr="0006063C" w:rsidSect="00034616">
      <w:footerReference w:type="default" r:id="rId9"/>
      <w:pgSz w:w="12240" w:h="15840"/>
      <w:pgMar w:top="1020" w:right="1020" w:bottom="907"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after="0"/>
      <w:jc w:val="right"/>
    </w:pPr>
    <w:r>
      <w:rPr>
        <w:rFonts w:ascii="Georgia" w:hAnsi="Georgia" w:eastAsia="Georgia"/>
        <w:b w:val="0"/>
        <w:i/>
        <w:color w:val="636363"/>
        <w:sz w:val="19"/>
      </w:rPr>
      <w:t>Aionyx - Partner Handout</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eastAsia="Georgia"/>
      <w:sz w:val="23"/>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